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C66A" w14:textId="675DB486" w:rsidR="000678C6" w:rsidRPr="00EB4440" w:rsidRDefault="004E2481" w:rsidP="00EB4440">
      <w:pPr>
        <w:spacing w:after="240" w:line="240" w:lineRule="auto"/>
        <w:ind w:left="142" w:right="394"/>
        <w:rPr>
          <w:rFonts w:ascii="Arial" w:hAnsi="Arial"/>
          <w:b/>
          <w:sz w:val="36"/>
        </w:rPr>
      </w:pPr>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t>Exclusion of certain Core Terms</w:t>
      </w:r>
      <w:r w:rsidR="00746128">
        <w:rPr>
          <w:rFonts w:ascii="Arial" w:eastAsia="Arial" w:hAnsi="Arial" w:cs="Arial"/>
          <w:b/>
          <w:color w:val="auto"/>
          <w:sz w:val="24"/>
          <w:szCs w:val="24"/>
        </w:rPr>
        <w:t xml:space="preserve"> and terms of Schedules</w:t>
      </w:r>
    </w:p>
    <w:p w14:paraId="71E6C4DF" w14:textId="77777777"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Parties have entered into a Call-Off Contract which incorporates the terms of this Call-Off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Call-Off Contract (but are not modified in respect of the Framework Contract):</w:t>
      </w:r>
    </w:p>
    <w:p w14:paraId="3D1B9DF1" w14:textId="77777777" w:rsidR="00F74DC1" w:rsidRPr="0009143A" w:rsidRDefault="00F74DC1" w:rsidP="00F74DC1">
      <w:pPr>
        <w:spacing w:after="0"/>
      </w:pPr>
    </w:p>
    <w:p w14:paraId="6786F500" w14:textId="01976958"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Pr="00467C56">
        <w:rPr>
          <w:rFonts w:ascii="Arial" w:eastAsia="Arial" w:hAnsi="Arial" w:cs="Arial"/>
          <w:color w:val="auto"/>
          <w:sz w:val="24"/>
          <w:szCs w:val="24"/>
        </w:rPr>
        <w:t xml:space="preserve"> Call-Off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A1720D">
        <w:rPr>
          <w:rFonts w:ascii="Arial" w:eastAsia="Arial" w:hAnsi="Arial" w:cs="Arial"/>
          <w:color w:val="auto"/>
          <w:sz w:val="24"/>
          <w:szCs w:val="24"/>
        </w:rPr>
        <w:t>to the Call-Off Contract</w:t>
      </w:r>
      <w:r>
        <w:rPr>
          <w:rFonts w:ascii="Arial" w:eastAsia="Arial" w:hAnsi="Arial" w:cs="Arial"/>
          <w:color w:val="auto"/>
          <w:sz w:val="24"/>
          <w:szCs w:val="24"/>
        </w:rPr>
        <w:t>; and</w:t>
      </w:r>
    </w:p>
    <w:p w14:paraId="3F71E1A8" w14:textId="28A97FA4"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Pr="0009143A">
        <w:rPr>
          <w:rFonts w:ascii="Arial" w:eastAsia="Times New Roman" w:hAnsi="Arial" w:cs="Arial"/>
          <w:color w:val="auto"/>
          <w:sz w:val="24"/>
          <w:szCs w:val="24"/>
          <w:lang w:eastAsia="en-GB"/>
        </w:rPr>
        <w:t xml:space="preserve"> Call-Off Contract.</w:t>
      </w:r>
    </w:p>
    <w:p w14:paraId="5189A057" w14:textId="77777777" w:rsidR="00AE532C" w:rsidRPr="00AE532C" w:rsidRDefault="00AE532C" w:rsidP="00AE532C"/>
    <w:p w14:paraId="7C3D3A59" w14:textId="07D2EB9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 Call-Off Contract which incorporates the terms of this Call-Off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Call-Off 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in respect of the Framework Contract):</w:t>
      </w:r>
    </w:p>
    <w:p w14:paraId="41A588A7" w14:textId="77777777" w:rsidR="00C92CD4" w:rsidRPr="00EB4440" w:rsidRDefault="00C92CD4" w:rsidP="00EB4440"/>
    <w:p w14:paraId="48614C58" w14:textId="198B934A"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Pr="00746128">
        <w:rPr>
          <w:rFonts w:ascii="Arial" w:eastAsia="Arial" w:hAnsi="Arial" w:cs="Arial"/>
          <w:color w:val="auto"/>
          <w:sz w:val="24"/>
          <w:szCs w:val="24"/>
        </w:rPr>
        <w:t xml:space="preserve"> Call-Off Contract</w:t>
      </w:r>
      <w:r>
        <w:rPr>
          <w:rFonts w:ascii="Arial" w:eastAsia="Arial" w:hAnsi="Arial" w:cs="Arial"/>
          <w:color w:val="auto"/>
          <w:sz w:val="24"/>
          <w:szCs w:val="24"/>
        </w:rPr>
        <w:t>; and</w:t>
      </w:r>
    </w:p>
    <w:p w14:paraId="4F09BA54" w14:textId="77777777" w:rsidR="00C92CD4" w:rsidRPr="00EB4440" w:rsidRDefault="00C92CD4" w:rsidP="00EB4440"/>
    <w:p w14:paraId="59403ADC" w14:textId="5B840855"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Call-Off 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4154EFCA"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modified by any Framework Special Terms or any</w:t>
      </w:r>
      <w:r w:rsidR="00F3050B" w:rsidRPr="00EB4440">
        <w:rPr>
          <w:rFonts w:ascii="Arial" w:hAnsi="Arial"/>
          <w:color w:val="auto"/>
          <w:sz w:val="24"/>
        </w:rPr>
        <w:t xml:space="preserve"> Call-Off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10A711BC"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Framework Special Term or Call-Off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1D31ADAF"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F3050B">
        <w:rPr>
          <w:rFonts w:ascii="Arial" w:eastAsia="Times New Roman" w:hAnsi="Arial" w:cs="Arial"/>
          <w:color w:val="auto"/>
          <w:sz w:val="24"/>
          <w:szCs w:val="24"/>
          <w:lang w:eastAsia="en-GB"/>
        </w:rPr>
        <w:t xml:space="preserve"> and any applicable Framework Special Term or Call-Off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2"/>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487C3519"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7AE3D888"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38B0962C"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A42A5C">
        <w:rPr>
          <w:rFonts w:ascii="Arial" w:eastAsia="Times New Roman" w:hAnsi="Arial" w:cs="Arial"/>
          <w:color w:val="auto"/>
          <w:sz w:val="24"/>
          <w:szCs w:val="24"/>
          <w:lang w:eastAsia="en-GB"/>
        </w:rPr>
        <w:t>Call-Off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15E48096"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 xml:space="preserve">Supplier under this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70D01717"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 xml:space="preserve">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0A6C9B10"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 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34AF3649"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225DE7C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B5D8F2A"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Controller or the Processor has provided appropriate safeguards in relation to the transfer (whether in accordance with 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5531426A"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applies and Clauses 10.6.1 and 10.6.2 of the Core Terms shall apply as if the 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14DA2930"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156A8320"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B4440">
            <w:pPr>
              <w:spacing w:after="240"/>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default" r:id="rId11"/>
      <w:footerReference w:type="even" r:id="rId12"/>
      <w:footerReference w:type="defaul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7DC09" w14:textId="77777777" w:rsidR="009C6CB6" w:rsidRDefault="009C6CB6" w:rsidP="003533FD">
      <w:pPr>
        <w:spacing w:after="0" w:line="240" w:lineRule="auto"/>
      </w:pPr>
      <w:r>
        <w:separator/>
      </w:r>
    </w:p>
  </w:endnote>
  <w:endnote w:type="continuationSeparator" w:id="0">
    <w:p w14:paraId="6C616A35" w14:textId="77777777" w:rsidR="009C6CB6" w:rsidRDefault="009C6CB6" w:rsidP="003533FD">
      <w:pPr>
        <w:spacing w:after="0" w:line="240" w:lineRule="auto"/>
      </w:pPr>
      <w:r>
        <w:continuationSeparator/>
      </w:r>
    </w:p>
  </w:endnote>
  <w:endnote w:type="continuationNotice" w:id="1">
    <w:p w14:paraId="2358AE0E" w14:textId="77777777" w:rsidR="009C6CB6" w:rsidRDefault="009C6C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512D9" w14:textId="6A234110" w:rsidR="00BF1561" w:rsidRDefault="00BF1561">
    <w:pPr>
      <w:pStyle w:val="Footer"/>
    </w:pPr>
    <w:r>
      <w:rPr>
        <w:noProof/>
      </w:rPr>
      <mc:AlternateContent>
        <mc:Choice Requires="wps">
          <w:drawing>
            <wp:anchor distT="0" distB="0" distL="0" distR="0" simplePos="0" relativeHeight="251659264" behindDoc="0" locked="0" layoutInCell="1" allowOverlap="1" wp14:anchorId="65840124" wp14:editId="4985270C">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F4959C" w14:textId="3B1C58BD" w:rsidR="00BF1561" w:rsidRPr="00BF1561" w:rsidRDefault="00BF1561" w:rsidP="00BF1561">
                          <w:pPr>
                            <w:spacing w:after="0"/>
                            <w:rPr>
                              <w:rFonts w:ascii="Calibri" w:eastAsia="Calibri" w:hAnsi="Calibri" w:cs="Calibri"/>
                              <w:noProof/>
                              <w:color w:val="000000"/>
                              <w:sz w:val="20"/>
                              <w:szCs w:val="20"/>
                            </w:rPr>
                          </w:pPr>
                          <w:r w:rsidRPr="00BF156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840124"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fill o:detectmouseclick="t"/>
              <v:textbox style="mso-fit-shape-to-text:t" inset="0,0,0,15pt">
                <w:txbxContent>
                  <w:p w14:paraId="4DF4959C" w14:textId="3B1C58BD" w:rsidR="00BF1561" w:rsidRPr="00BF1561" w:rsidRDefault="00BF1561" w:rsidP="00BF1561">
                    <w:pPr>
                      <w:spacing w:after="0"/>
                      <w:rPr>
                        <w:rFonts w:ascii="Calibri" w:eastAsia="Calibri" w:hAnsi="Calibri" w:cs="Calibri"/>
                        <w:noProof/>
                        <w:color w:val="000000"/>
                        <w:sz w:val="20"/>
                        <w:szCs w:val="20"/>
                      </w:rPr>
                    </w:pPr>
                    <w:r w:rsidRPr="00BF1561">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B22A8" w14:textId="3C2AC5A8" w:rsidR="00335979" w:rsidRDefault="00BF1561">
    <w:pPr>
      <w:pStyle w:val="Footer"/>
      <w:jc w:val="center"/>
    </w:pPr>
    <w:r>
      <w:rPr>
        <w:noProof/>
      </w:rPr>
      <mc:AlternateContent>
        <mc:Choice Requires="wps">
          <w:drawing>
            <wp:anchor distT="0" distB="0" distL="0" distR="0" simplePos="0" relativeHeight="251660288" behindDoc="0" locked="0" layoutInCell="1" allowOverlap="1" wp14:anchorId="4FED98FE" wp14:editId="6E693E0C">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BD1DFF" w14:textId="3034A34B" w:rsidR="00BF1561" w:rsidRPr="00BF1561" w:rsidRDefault="00BF1561" w:rsidP="00BF1561">
                          <w:pPr>
                            <w:spacing w:after="0"/>
                            <w:rPr>
                              <w:rFonts w:ascii="Calibri" w:eastAsia="Calibri" w:hAnsi="Calibri" w:cs="Calibri"/>
                              <w:noProof/>
                              <w:color w:val="000000"/>
                              <w:sz w:val="20"/>
                              <w:szCs w:val="20"/>
                            </w:rPr>
                          </w:pPr>
                          <w:r w:rsidRPr="00BF156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ED98FE"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6BD1DFF" w14:textId="3034A34B" w:rsidR="00BF1561" w:rsidRPr="00BF1561" w:rsidRDefault="00BF1561" w:rsidP="00BF1561">
                    <w:pPr>
                      <w:spacing w:after="0"/>
                      <w:rPr>
                        <w:rFonts w:ascii="Calibri" w:eastAsia="Calibri" w:hAnsi="Calibri" w:cs="Calibri"/>
                        <w:noProof/>
                        <w:color w:val="000000"/>
                        <w:sz w:val="20"/>
                        <w:szCs w:val="20"/>
                      </w:rPr>
                    </w:pPr>
                    <w:r w:rsidRPr="00BF1561">
                      <w:rPr>
                        <w:rFonts w:ascii="Calibri" w:eastAsia="Calibri" w:hAnsi="Calibri" w:cs="Calibri"/>
                        <w:noProof/>
                        <w:color w:val="000000"/>
                        <w:sz w:val="20"/>
                        <w:szCs w:val="20"/>
                      </w:rPr>
                      <w:t>OFFICIAL</w:t>
                    </w:r>
                  </w:p>
                </w:txbxContent>
              </v:textbox>
              <w10:wrap anchorx="page" anchory="page"/>
            </v:shape>
          </w:pict>
        </mc:Fallback>
      </mc:AlternateContent>
    </w:r>
  </w:p>
  <w:sdt>
    <w:sdtPr>
      <w:id w:val="927238655"/>
      <w:docPartObj>
        <w:docPartGallery w:val="Page Numbers (Bottom of Page)"/>
        <w:docPartUnique/>
      </w:docPartObj>
    </w:sdtPr>
    <w:sdtEndPr>
      <w:rPr>
        <w:noProof/>
      </w:rPr>
    </w:sdtEndPr>
    <w:sdtContent>
      <w:p w14:paraId="5BBB22A8" w14:textId="3C2AC5A8" w:rsidR="00335979" w:rsidRDefault="00335979">
        <w:pPr>
          <w:pStyle w:val="Footer"/>
          <w:jc w:val="center"/>
        </w:pPr>
        <w:r>
          <w:fldChar w:fldCharType="begin"/>
        </w:r>
        <w:r>
          <w:instrText xml:space="preserve"> PAGE   \* MERGEFORMAT </w:instrText>
        </w:r>
        <w:r>
          <w:fldChar w:fldCharType="separate"/>
        </w:r>
        <w:r w:rsidR="00A16A03">
          <w:rPr>
            <w:noProof/>
          </w:rPr>
          <w:t>1</w:t>
        </w:r>
        <w:r>
          <w:rPr>
            <w:noProof/>
          </w:rPr>
          <w:fldChar w:fldCharType="end"/>
        </w:r>
      </w:p>
    </w:sdtContent>
  </w:sdt>
  <w:p w14:paraId="352D7A0C" w14:textId="77777777" w:rsidR="00335979" w:rsidRDefault="00335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EDD4" w14:textId="21338DF7" w:rsidR="00BF1561" w:rsidRDefault="00BF1561">
    <w:pPr>
      <w:pStyle w:val="Footer"/>
    </w:pPr>
    <w:r>
      <w:rPr>
        <w:noProof/>
      </w:rPr>
      <mc:AlternateContent>
        <mc:Choice Requires="wps">
          <w:drawing>
            <wp:anchor distT="0" distB="0" distL="0" distR="0" simplePos="0" relativeHeight="251658240" behindDoc="0" locked="0" layoutInCell="1" allowOverlap="1" wp14:anchorId="51D9FE84" wp14:editId="6DD82D33">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B72B5E" w14:textId="2E076C72" w:rsidR="00BF1561" w:rsidRPr="00BF1561" w:rsidRDefault="00BF1561" w:rsidP="00BF1561">
                          <w:pPr>
                            <w:spacing w:after="0"/>
                            <w:rPr>
                              <w:rFonts w:ascii="Calibri" w:eastAsia="Calibri" w:hAnsi="Calibri" w:cs="Calibri"/>
                              <w:noProof/>
                              <w:color w:val="000000"/>
                              <w:sz w:val="20"/>
                              <w:szCs w:val="20"/>
                            </w:rPr>
                          </w:pPr>
                          <w:r w:rsidRPr="00BF156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1D9FE84" id="_x0000_t202" coordsize="21600,21600" o:spt="202" path="m,l,21600r21600,l21600,xe">
              <v:stroke joinstyle="miter"/>
              <v:path gradientshapeok="t" o:connecttype="rect"/>
            </v:shapetype>
            <v:shape id="Text Box 1" o:spid="_x0000_s1028"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fill o:detectmouseclick="t"/>
              <v:textbox style="mso-fit-shape-to-text:t" inset="0,0,0,15pt">
                <w:txbxContent>
                  <w:p w14:paraId="20B72B5E" w14:textId="2E076C72" w:rsidR="00BF1561" w:rsidRPr="00BF1561" w:rsidRDefault="00BF1561" w:rsidP="00BF1561">
                    <w:pPr>
                      <w:spacing w:after="0"/>
                      <w:rPr>
                        <w:rFonts w:ascii="Calibri" w:eastAsia="Calibri" w:hAnsi="Calibri" w:cs="Calibri"/>
                        <w:noProof/>
                        <w:color w:val="000000"/>
                        <w:sz w:val="20"/>
                        <w:szCs w:val="20"/>
                      </w:rPr>
                    </w:pPr>
                    <w:r w:rsidRPr="00BF1561">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76D8F" w14:textId="77777777" w:rsidR="009C6CB6" w:rsidRDefault="009C6CB6" w:rsidP="003533FD">
      <w:pPr>
        <w:spacing w:after="0" w:line="240" w:lineRule="auto"/>
      </w:pPr>
      <w:r>
        <w:separator/>
      </w:r>
    </w:p>
  </w:footnote>
  <w:footnote w:type="continuationSeparator" w:id="0">
    <w:p w14:paraId="32E66681" w14:textId="77777777" w:rsidR="009C6CB6" w:rsidRDefault="009C6CB6" w:rsidP="003533FD">
      <w:pPr>
        <w:spacing w:after="0" w:line="240" w:lineRule="auto"/>
      </w:pPr>
      <w:r>
        <w:continuationSeparator/>
      </w:r>
    </w:p>
  </w:footnote>
  <w:footnote w:type="continuationNotice" w:id="1">
    <w:p w14:paraId="627F897F" w14:textId="77777777" w:rsidR="009C6CB6" w:rsidRDefault="009C6CB6">
      <w:pPr>
        <w:spacing w:after="0" w:line="240" w:lineRule="auto"/>
      </w:pPr>
    </w:p>
  </w:footnote>
  <w:footnote w:id="2">
    <w:p w14:paraId="72D4C9BC" w14:textId="77777777" w:rsidR="00335979" w:rsidRDefault="00335979"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335979" w:rsidRDefault="00335979"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335979" w:rsidRDefault="00335979"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335979" w:rsidRDefault="00335979" w:rsidP="00601C72">
      <w:pPr>
        <w:pStyle w:val="FootnoteText"/>
        <w:jc w:val="both"/>
      </w:pPr>
      <w:r>
        <w:t>future legislation introduced into Parliament to counteract tax advantages arising from abusive</w:t>
      </w:r>
    </w:p>
    <w:p w14:paraId="43582ED6" w14:textId="77777777" w:rsidR="00335979" w:rsidRDefault="00335979" w:rsidP="00601C72">
      <w:pPr>
        <w:pStyle w:val="FootnoteText"/>
      </w:pPr>
      <w:r>
        <w:t>arrangements to avoid national insurance contributions</w:t>
      </w:r>
    </w:p>
  </w:footnote>
  <w:footnote w:id="5">
    <w:p w14:paraId="290990E0" w14:textId="77777777" w:rsidR="00335979" w:rsidRDefault="00335979"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335979" w:rsidRDefault="00335979"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335979" w:rsidRDefault="00335979"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335979" w:rsidRDefault="00335979"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335979" w:rsidRDefault="00335979"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17D4E" w14:textId="2D626D9D" w:rsidR="00335979" w:rsidRDefault="00335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97037005">
    <w:abstractNumId w:val="0"/>
  </w:num>
  <w:num w:numId="2" w16cid:durableId="256643878">
    <w:abstractNumId w:val="36"/>
  </w:num>
  <w:num w:numId="3" w16cid:durableId="1804957772">
    <w:abstractNumId w:val="8"/>
  </w:num>
  <w:num w:numId="4" w16cid:durableId="548080017">
    <w:abstractNumId w:val="43"/>
  </w:num>
  <w:num w:numId="5" w16cid:durableId="1851673533">
    <w:abstractNumId w:val="4"/>
  </w:num>
  <w:num w:numId="6" w16cid:durableId="1544901481">
    <w:abstractNumId w:val="47"/>
  </w:num>
  <w:num w:numId="7" w16cid:durableId="576552450">
    <w:abstractNumId w:val="20"/>
  </w:num>
  <w:num w:numId="8" w16cid:durableId="1448887894">
    <w:abstractNumId w:val="19"/>
  </w:num>
  <w:num w:numId="9" w16cid:durableId="1552425023">
    <w:abstractNumId w:val="26"/>
  </w:num>
  <w:num w:numId="10" w16cid:durableId="1516577032">
    <w:abstractNumId w:val="30"/>
  </w:num>
  <w:num w:numId="11" w16cid:durableId="1078215030">
    <w:abstractNumId w:val="32"/>
  </w:num>
  <w:num w:numId="12" w16cid:durableId="731267689">
    <w:abstractNumId w:val="39"/>
  </w:num>
  <w:num w:numId="13" w16cid:durableId="445277316">
    <w:abstractNumId w:val="40"/>
  </w:num>
  <w:num w:numId="14" w16cid:durableId="338429198">
    <w:abstractNumId w:val="25"/>
  </w:num>
  <w:num w:numId="15" w16cid:durableId="1440642958">
    <w:abstractNumId w:val="34"/>
    <w:lvlOverride w:ilvl="0">
      <w:lvl w:ilvl="0">
        <w:numFmt w:val="decimal"/>
        <w:lvlText w:val="%1."/>
        <w:lvlJc w:val="left"/>
      </w:lvl>
    </w:lvlOverride>
    <w:lvlOverride w:ilvl="1">
      <w:lvl w:ilvl="1">
        <w:numFmt w:val="lowerLetter"/>
        <w:lvlText w:val="%2."/>
        <w:lvlJc w:val="left"/>
      </w:lvl>
    </w:lvlOverride>
  </w:num>
  <w:num w:numId="16" w16cid:durableId="2110155929">
    <w:abstractNumId w:val="18"/>
  </w:num>
  <w:num w:numId="17" w16cid:durableId="1712073234">
    <w:abstractNumId w:val="42"/>
  </w:num>
  <w:num w:numId="18" w16cid:durableId="1225216962">
    <w:abstractNumId w:val="2"/>
  </w:num>
  <w:num w:numId="19" w16cid:durableId="250354316">
    <w:abstractNumId w:val="11"/>
  </w:num>
  <w:num w:numId="20" w16cid:durableId="727798814">
    <w:abstractNumId w:val="46"/>
  </w:num>
  <w:num w:numId="21" w16cid:durableId="1300695341">
    <w:abstractNumId w:val="29"/>
  </w:num>
  <w:num w:numId="22" w16cid:durableId="1940019795">
    <w:abstractNumId w:val="15"/>
  </w:num>
  <w:num w:numId="23" w16cid:durableId="733701455">
    <w:abstractNumId w:val="13"/>
  </w:num>
  <w:num w:numId="24" w16cid:durableId="613053539">
    <w:abstractNumId w:val="5"/>
  </w:num>
  <w:num w:numId="25" w16cid:durableId="967974337">
    <w:abstractNumId w:val="21"/>
  </w:num>
  <w:num w:numId="26" w16cid:durableId="1976982806">
    <w:abstractNumId w:val="37"/>
  </w:num>
  <w:num w:numId="27" w16cid:durableId="935023122">
    <w:abstractNumId w:val="1"/>
  </w:num>
  <w:num w:numId="28" w16cid:durableId="68580426">
    <w:abstractNumId w:val="22"/>
  </w:num>
  <w:num w:numId="29" w16cid:durableId="499853619">
    <w:abstractNumId w:val="33"/>
  </w:num>
  <w:num w:numId="30" w16cid:durableId="2086417028">
    <w:abstractNumId w:val="3"/>
  </w:num>
  <w:num w:numId="31" w16cid:durableId="1597520075">
    <w:abstractNumId w:val="24"/>
  </w:num>
  <w:num w:numId="32" w16cid:durableId="1339188702">
    <w:abstractNumId w:val="28"/>
  </w:num>
  <w:num w:numId="33" w16cid:durableId="399522865">
    <w:abstractNumId w:val="14"/>
  </w:num>
  <w:num w:numId="34" w16cid:durableId="798188190">
    <w:abstractNumId w:val="45"/>
  </w:num>
  <w:num w:numId="35" w16cid:durableId="475803713">
    <w:abstractNumId w:val="9"/>
  </w:num>
  <w:num w:numId="36" w16cid:durableId="1433359317">
    <w:abstractNumId w:val="35"/>
  </w:num>
  <w:num w:numId="37" w16cid:durableId="1943417689">
    <w:abstractNumId w:val="10"/>
  </w:num>
  <w:num w:numId="38" w16cid:durableId="2114129304">
    <w:abstractNumId w:val="7"/>
  </w:num>
  <w:num w:numId="39" w16cid:durableId="536238935">
    <w:abstractNumId w:val="27"/>
  </w:num>
  <w:num w:numId="40" w16cid:durableId="603659841">
    <w:abstractNumId w:val="17"/>
  </w:num>
  <w:num w:numId="41" w16cid:durableId="733625313">
    <w:abstractNumId w:val="38"/>
  </w:num>
  <w:num w:numId="42" w16cid:durableId="1603226120">
    <w:abstractNumId w:val="31"/>
  </w:num>
  <w:num w:numId="43" w16cid:durableId="1377662617">
    <w:abstractNumId w:val="12"/>
  </w:num>
  <w:num w:numId="44" w16cid:durableId="30500060">
    <w:abstractNumId w:val="6"/>
  </w:num>
  <w:num w:numId="45" w16cid:durableId="510922602">
    <w:abstractNumId w:val="23"/>
  </w:num>
  <w:num w:numId="46" w16cid:durableId="520823888">
    <w:abstractNumId w:val="16"/>
  </w:num>
  <w:num w:numId="47" w16cid:durableId="521750558">
    <w:abstractNumId w:val="44"/>
  </w:num>
  <w:num w:numId="48" w16cid:durableId="195351754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361"/>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05F"/>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6543B"/>
    <w:rsid w:val="00676702"/>
    <w:rsid w:val="00676EFF"/>
    <w:rsid w:val="00677854"/>
    <w:rsid w:val="00681042"/>
    <w:rsid w:val="006817C0"/>
    <w:rsid w:val="00694203"/>
    <w:rsid w:val="00696BA3"/>
    <w:rsid w:val="006A327D"/>
    <w:rsid w:val="006A7AD9"/>
    <w:rsid w:val="006B0F9D"/>
    <w:rsid w:val="006B6F64"/>
    <w:rsid w:val="006C088F"/>
    <w:rsid w:val="006D4B4B"/>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C6CB6"/>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6A03"/>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385"/>
    <w:rsid w:val="00AB28BA"/>
    <w:rsid w:val="00AB4613"/>
    <w:rsid w:val="00AB5AEB"/>
    <w:rsid w:val="00AC182B"/>
    <w:rsid w:val="00AD021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54D8"/>
    <w:rsid w:val="00BE5610"/>
    <w:rsid w:val="00BE59D4"/>
    <w:rsid w:val="00BE7565"/>
    <w:rsid w:val="00BF1561"/>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04C82"/>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11C1"/>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E58F60-D57D-394C-B1D9-9C1C6DA47E89}">
  <ds:schemaRefs>
    <ds:schemaRef ds:uri="http://schemas.openxmlformats.org/officeDocument/2006/bibliography"/>
  </ds:schemaRefs>
</ds:datastoreItem>
</file>

<file path=customXml/itemProps2.xml><?xml version="1.0" encoding="utf-8"?>
<ds:datastoreItem xmlns:ds="http://schemas.openxmlformats.org/officeDocument/2006/customXml" ds:itemID="{8D9879E7-7509-4AEA-9385-05FDBD97C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8493D9-BDA8-4208-B855-F6198CB9BC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2766</Words>
  <Characters>15770</Characters>
  <Application>Microsoft Office Word</Application>
  <DocSecurity>0</DocSecurity>
  <Lines>131</Lines>
  <Paragraphs>36</Paragraphs>
  <ScaleCrop>false</ScaleCrop>
  <Company>HM Revenue and Customs</Company>
  <LinksUpToDate>false</LinksUpToDate>
  <CharactersWithSpaces>18500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Yeates, Rebecca (Commercial)</cp:lastModifiedBy>
  <cp:revision>4</cp:revision>
  <cp:lastPrinted>2019-10-30T13:25:00Z</cp:lastPrinted>
  <dcterms:created xsi:type="dcterms:W3CDTF">2023-04-21T11:47:00Z</dcterms:created>
  <dcterms:modified xsi:type="dcterms:W3CDTF">2023-04-21T11:47:00Z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2023-04-21T11:47:50Z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2ec74f88-26f0-48f7-b53e-dfaf8aba8bd6</vt:lpwstr>
  </property>
  <property fmtid="{D5CDD505-2E9C-101B-9397-08002B2CF9AE}" pid="12" name="MSIP_Label_f9af038e-07b4-4369-a678-c835687cb272_ContentBits">
    <vt:lpwstr>2</vt:lpwstr>
  </property>
</Properties>
</file>